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490"/>
      </w:tblGrid>
      <w:tr w:rsidR="00D920FF" w:rsidRPr="00BD314C" w:rsidTr="00D920FF">
        <w:trPr>
          <w:trHeight w:val="305"/>
        </w:trPr>
        <w:tc>
          <w:tcPr>
            <w:tcW w:w="10490" w:type="dxa"/>
            <w:shd w:val="clear" w:color="auto" w:fill="595959"/>
            <w:vAlign w:val="center"/>
          </w:tcPr>
          <w:p w:rsidR="00D920FF" w:rsidRPr="00BD314C" w:rsidRDefault="00D920FF" w:rsidP="005C7FAA">
            <w:pPr>
              <w:pStyle w:val="a4"/>
              <w:ind w:firstLine="567"/>
              <w:jc w:val="center"/>
              <w:rPr>
                <w:rFonts w:ascii="Arial Narrow" w:hAnsi="Arial Narrow"/>
                <w:b/>
                <w:color w:val="FFFFFF"/>
                <w:sz w:val="21"/>
                <w:szCs w:val="21"/>
              </w:rPr>
            </w:pPr>
            <w:r w:rsidRPr="00BD314C">
              <w:rPr>
                <w:rFonts w:ascii="Arial Narrow" w:hAnsi="Arial Narrow"/>
                <w:b/>
                <w:color w:val="FFFFFF"/>
                <w:sz w:val="21"/>
                <w:szCs w:val="21"/>
              </w:rPr>
              <w:t>ПРОГРАММА СЕМИНАРА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Складывающаяся практика </w:t>
            </w:r>
            <w:r w:rsidRPr="006162AF">
              <w:rPr>
                <w:rFonts w:ascii="Arial Narrow" w:hAnsi="Arial Narrow"/>
                <w:b/>
              </w:rPr>
              <w:t xml:space="preserve">оспаривания отказов в </w:t>
            </w:r>
            <w:proofErr w:type="gramStart"/>
            <w:r w:rsidRPr="006162AF">
              <w:rPr>
                <w:rFonts w:ascii="Arial Narrow" w:hAnsi="Arial Narrow"/>
                <w:b/>
              </w:rPr>
              <w:t>утверждении</w:t>
            </w:r>
            <w:proofErr w:type="gramEnd"/>
            <w:r w:rsidRPr="006162AF">
              <w:rPr>
                <w:rFonts w:ascii="Arial Narrow" w:hAnsi="Arial Narrow"/>
                <w:b/>
              </w:rPr>
              <w:t xml:space="preserve"> схемы</w:t>
            </w:r>
            <w:r w:rsidRPr="006162AF">
              <w:rPr>
                <w:rFonts w:ascii="Arial Narrow" w:hAnsi="Arial Narrow"/>
              </w:rPr>
              <w:t xml:space="preserve"> расположения земельного участка (ЗУ). Позиция кадастровой палаты по отражению информации, содержащейся в утвержденной схеме. </w:t>
            </w:r>
            <w:r w:rsidRPr="006162AF">
              <w:rPr>
                <w:rFonts w:ascii="Arial Narrow" w:hAnsi="Arial Narrow"/>
                <w:b/>
              </w:rPr>
              <w:t>Информационное взаимодействие</w:t>
            </w:r>
            <w:r w:rsidRPr="006162AF">
              <w:rPr>
                <w:rFonts w:ascii="Arial Narrow" w:hAnsi="Arial Narrow"/>
              </w:rPr>
              <w:t xml:space="preserve"> уполномоченных на предоставление ЗУ органов и органа регистрации с 1 января 2017 года.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Оспаривание </w:t>
            </w:r>
            <w:r w:rsidRPr="006162AF">
              <w:rPr>
                <w:rFonts w:ascii="Arial Narrow" w:hAnsi="Arial Narrow"/>
                <w:b/>
              </w:rPr>
              <w:t xml:space="preserve">отказов в предварительном </w:t>
            </w:r>
            <w:proofErr w:type="gramStart"/>
            <w:r w:rsidRPr="006162AF">
              <w:rPr>
                <w:rFonts w:ascii="Arial Narrow" w:hAnsi="Arial Narrow"/>
                <w:b/>
              </w:rPr>
              <w:t>согласовании</w:t>
            </w:r>
            <w:proofErr w:type="gramEnd"/>
            <w:r w:rsidRPr="006162AF">
              <w:rPr>
                <w:rFonts w:ascii="Arial Narrow" w:hAnsi="Arial Narrow"/>
              </w:rPr>
              <w:t xml:space="preserve"> предоставления земельного участка.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Новые </w:t>
            </w:r>
            <w:r w:rsidRPr="006162AF">
              <w:rPr>
                <w:rFonts w:ascii="Arial Narrow" w:hAnsi="Arial Narrow"/>
                <w:b/>
              </w:rPr>
              <w:t>виды элементов планировочной структуры</w:t>
            </w:r>
            <w:r w:rsidRPr="006162AF">
              <w:rPr>
                <w:rFonts w:ascii="Arial Narrow" w:hAnsi="Arial Narrow"/>
              </w:rPr>
              <w:t>: подходы Минфина России и Минстроя России.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Предоставление ЗУ на основе </w:t>
            </w:r>
            <w:r w:rsidRPr="006162AF">
              <w:rPr>
                <w:rFonts w:ascii="Arial Narrow" w:hAnsi="Arial Narrow"/>
                <w:b/>
              </w:rPr>
              <w:t>документации по планировке территории</w:t>
            </w:r>
            <w:r w:rsidRPr="006162AF">
              <w:rPr>
                <w:rFonts w:ascii="Arial Narrow" w:hAnsi="Arial Narrow"/>
              </w:rPr>
              <w:t xml:space="preserve"> (ДПТ). Градостроительная подготовка ЗУ. Случаи обязательной подготовки ДПТ. Требования по подготовке ДПТ: самостоятельно или уполномоченные органы. Перечень случаев, при которых для строительства, реконструкции </w:t>
            </w:r>
            <w:r w:rsidRPr="006162AF">
              <w:rPr>
                <w:rFonts w:ascii="Arial Narrow" w:hAnsi="Arial Narrow"/>
                <w:u w:val="single"/>
              </w:rPr>
              <w:t>линейных объектов не требуется подготовка документации по планировке территории.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Порядок установления </w:t>
            </w:r>
            <w:r w:rsidRPr="006162AF">
              <w:rPr>
                <w:rFonts w:ascii="Arial Narrow" w:hAnsi="Arial Narrow"/>
                <w:u w:val="single"/>
              </w:rPr>
              <w:t>красных линий, обозначающих границы территорий, занятых линейными объектами.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Требования к </w:t>
            </w:r>
            <w:r w:rsidRPr="006162AF">
              <w:rPr>
                <w:rFonts w:ascii="Arial Narrow" w:hAnsi="Arial Narrow"/>
                <w:b/>
              </w:rPr>
              <w:t>схеме вертикальной планировки</w:t>
            </w:r>
            <w:r w:rsidRPr="006162AF">
              <w:rPr>
                <w:rFonts w:ascii="Arial Narrow" w:hAnsi="Arial Narrow"/>
              </w:rPr>
              <w:t xml:space="preserve">, </w:t>
            </w:r>
            <w:r w:rsidRPr="006162AF">
              <w:rPr>
                <w:rFonts w:ascii="Arial Narrow" w:hAnsi="Arial Narrow"/>
                <w:b/>
              </w:rPr>
              <w:t>инженерной подготовки</w:t>
            </w:r>
            <w:r w:rsidRPr="006162AF">
              <w:rPr>
                <w:rFonts w:ascii="Arial Narrow" w:hAnsi="Arial Narrow"/>
              </w:rPr>
              <w:t xml:space="preserve"> и инженерной защиты территории в отношении ДПТ, предусматривающей размещение объектов капитального строительства.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  <w:b/>
              </w:rPr>
              <w:t>Виды разрешенного использования</w:t>
            </w:r>
            <w:r w:rsidRPr="006162AF">
              <w:rPr>
                <w:rFonts w:ascii="Arial Narrow" w:hAnsi="Arial Narrow"/>
              </w:rPr>
              <w:t xml:space="preserve"> (ВРИ). Оспаривание актов об установлении ВРИ уполномоченных органов.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  <w:b/>
              </w:rPr>
            </w:pPr>
            <w:r w:rsidRPr="006162AF">
              <w:rPr>
                <w:rFonts w:ascii="Arial Narrow" w:hAnsi="Arial Narrow"/>
              </w:rPr>
              <w:t xml:space="preserve">Новый порядок </w:t>
            </w:r>
            <w:r w:rsidRPr="006162AF">
              <w:rPr>
                <w:rFonts w:ascii="Arial Narrow" w:hAnsi="Arial Narrow"/>
                <w:b/>
              </w:rPr>
              <w:t>кадастрового учета</w:t>
            </w:r>
            <w:r w:rsidRPr="006162AF">
              <w:rPr>
                <w:rFonts w:ascii="Arial Narrow" w:hAnsi="Arial Narrow"/>
              </w:rPr>
              <w:t xml:space="preserve"> объектов недвижимости. Новые </w:t>
            </w:r>
            <w:r w:rsidRPr="006162AF">
              <w:rPr>
                <w:rFonts w:ascii="Arial Narrow" w:hAnsi="Arial Narrow"/>
                <w:b/>
              </w:rPr>
              <w:t>требования к межевому плану, акту обследования, техническому плану</w:t>
            </w:r>
            <w:r w:rsidRPr="006162AF">
              <w:rPr>
                <w:rFonts w:ascii="Arial Narrow" w:hAnsi="Arial Narrow"/>
              </w:rPr>
              <w:t>. Взаимодействие кадастрового инженера с органом регистрации. Порядок предоставления заявления в орган регистрации и последующие действия.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Судебная практика рассмотрения </w:t>
            </w:r>
            <w:r w:rsidRPr="006162AF">
              <w:rPr>
                <w:rFonts w:ascii="Arial Narrow" w:hAnsi="Arial Narrow"/>
                <w:b/>
              </w:rPr>
              <w:t>дел по торгам по продаже</w:t>
            </w:r>
            <w:r w:rsidRPr="006162AF">
              <w:rPr>
                <w:rFonts w:ascii="Arial Narrow" w:hAnsi="Arial Narrow"/>
              </w:rPr>
              <w:t xml:space="preserve"> земельных участков.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  <w:b/>
              </w:rPr>
              <w:t>Арендные отношения</w:t>
            </w:r>
            <w:r w:rsidRPr="006162AF">
              <w:rPr>
                <w:rFonts w:ascii="Arial Narrow" w:hAnsi="Arial Narrow"/>
              </w:rPr>
              <w:t xml:space="preserve">: оспаривание отказа в </w:t>
            </w:r>
            <w:proofErr w:type="gramStart"/>
            <w:r w:rsidRPr="006162AF">
              <w:rPr>
                <w:rFonts w:ascii="Arial Narrow" w:hAnsi="Arial Narrow"/>
              </w:rPr>
              <w:t>предоставлении</w:t>
            </w:r>
            <w:proofErr w:type="gramEnd"/>
            <w:r w:rsidRPr="006162AF">
              <w:rPr>
                <w:rFonts w:ascii="Arial Narrow" w:hAnsi="Arial Narrow"/>
              </w:rPr>
              <w:t xml:space="preserve"> ЗУ в аренду без торгов. Основные случаи оспаривания по вопросам: заключения договора аренды «на новый срок», сроков аренды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  <w:b/>
              </w:rPr>
              <w:t>Новая форма ГПЗУ</w:t>
            </w:r>
            <w:r w:rsidRPr="006162AF">
              <w:rPr>
                <w:rFonts w:ascii="Arial Narrow" w:hAnsi="Arial Narrow"/>
              </w:rPr>
              <w:t xml:space="preserve"> 2017 года: инструкция по подготовке, регистрации и выдаче. Возможность отмены или опротестования ПЗЗ на основании ранее выданного ГПЗУ.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Практика и споры по оформлению </w:t>
            </w:r>
            <w:r w:rsidRPr="006162AF">
              <w:rPr>
                <w:rFonts w:ascii="Arial Narrow" w:hAnsi="Arial Narrow"/>
                <w:b/>
              </w:rPr>
              <w:t>сервитутов</w:t>
            </w:r>
            <w:r w:rsidRPr="006162AF">
              <w:rPr>
                <w:rFonts w:ascii="Arial Narrow" w:hAnsi="Arial Narrow"/>
              </w:rPr>
              <w:t xml:space="preserve"> на </w:t>
            </w:r>
            <w:r w:rsidRPr="006162AF">
              <w:rPr>
                <w:rFonts w:ascii="Arial Narrow" w:hAnsi="Arial Narrow"/>
                <w:u w:val="single"/>
              </w:rPr>
              <w:t>линейные объекты</w:t>
            </w:r>
            <w:r w:rsidRPr="006162AF">
              <w:rPr>
                <w:rFonts w:ascii="Arial Narrow" w:hAnsi="Arial Narrow"/>
              </w:rPr>
              <w:t xml:space="preserve">. </w:t>
            </w:r>
          </w:p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Перспективы введения права использования публичного сервитута для строительства линейных объектов. 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  <w:b/>
              </w:rPr>
              <w:t>Использование</w:t>
            </w:r>
            <w:r w:rsidRPr="006162AF">
              <w:rPr>
                <w:rFonts w:ascii="Arial Narrow" w:hAnsi="Arial Narrow"/>
              </w:rPr>
              <w:t xml:space="preserve"> земли и /или земельных участков </w:t>
            </w:r>
            <w:r w:rsidRPr="006162AF">
              <w:rPr>
                <w:rFonts w:ascii="Arial Narrow" w:hAnsi="Arial Narrow"/>
                <w:b/>
              </w:rPr>
              <w:t>без предоставления</w:t>
            </w:r>
            <w:r w:rsidRPr="006162AF">
              <w:rPr>
                <w:rFonts w:ascii="Arial Narrow" w:hAnsi="Arial Narrow"/>
              </w:rPr>
              <w:t xml:space="preserve"> для размещения </w:t>
            </w:r>
            <w:r w:rsidRPr="006162AF">
              <w:rPr>
                <w:rFonts w:ascii="Arial Narrow" w:hAnsi="Arial Narrow"/>
                <w:u w:val="single"/>
              </w:rPr>
              <w:t>линейных объектов.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</w:rPr>
              <w:t xml:space="preserve">Оспаривание отказов </w:t>
            </w:r>
            <w:r w:rsidRPr="006162AF">
              <w:rPr>
                <w:rFonts w:ascii="Arial Narrow" w:hAnsi="Arial Narrow"/>
                <w:b/>
              </w:rPr>
              <w:t>перераспределения земель и ЗУ</w:t>
            </w:r>
            <w:r w:rsidRPr="006162AF">
              <w:rPr>
                <w:rFonts w:ascii="Arial Narrow" w:hAnsi="Arial Narrow"/>
              </w:rPr>
              <w:t>: проблемы перераспределения земель под ИЖС и ЛПХ. Перераспределение земельных участков к участкам, находящимся в коммерческой собственности.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</w:rPr>
            </w:pPr>
            <w:r w:rsidRPr="006162AF">
              <w:rPr>
                <w:rFonts w:ascii="Arial Narrow" w:hAnsi="Arial Narrow"/>
                <w:b/>
              </w:rPr>
              <w:t>Регистрация прав</w:t>
            </w:r>
            <w:r w:rsidRPr="006162AF">
              <w:rPr>
                <w:rFonts w:ascii="Arial Narrow" w:hAnsi="Arial Narrow"/>
              </w:rPr>
              <w:t xml:space="preserve"> на объекты недвижимости с 1 января 2017 года: одновременность регистрации на объект капитального строительства (ОКС) и ЗУ, регистрация ОКС в отсутствии права на землю и другие особенности.</w:t>
            </w:r>
          </w:p>
        </w:tc>
      </w:tr>
      <w:tr w:rsidR="00D920FF" w:rsidRPr="00BD314C" w:rsidTr="00D920FF">
        <w:trPr>
          <w:trHeight w:val="305"/>
        </w:trPr>
        <w:tc>
          <w:tcPr>
            <w:tcW w:w="10490" w:type="dxa"/>
            <w:vAlign w:val="center"/>
          </w:tcPr>
          <w:p w:rsidR="00D920FF" w:rsidRPr="006162AF" w:rsidRDefault="00D920FF" w:rsidP="00D920FF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Arial Narrow" w:hAnsi="Arial Narrow"/>
                <w:b/>
              </w:rPr>
            </w:pPr>
            <w:r w:rsidRPr="006162AF">
              <w:rPr>
                <w:rFonts w:ascii="Arial Narrow" w:hAnsi="Arial Narrow"/>
              </w:rPr>
              <w:t xml:space="preserve">Порядок </w:t>
            </w:r>
            <w:r w:rsidRPr="006162AF">
              <w:rPr>
                <w:rFonts w:ascii="Arial Narrow" w:hAnsi="Arial Narrow"/>
                <w:b/>
              </w:rPr>
              <w:t>признания объектов</w:t>
            </w:r>
            <w:r w:rsidRPr="006162AF">
              <w:rPr>
                <w:rFonts w:ascii="Arial Narrow" w:hAnsi="Arial Narrow"/>
              </w:rPr>
              <w:t xml:space="preserve"> капитального строительства, за исключением многоквартирных домов, </w:t>
            </w:r>
            <w:r w:rsidRPr="006162AF">
              <w:rPr>
                <w:rFonts w:ascii="Arial Narrow" w:hAnsi="Arial Narrow"/>
                <w:b/>
              </w:rPr>
              <w:t>аварийными и подлежащими сносу</w:t>
            </w:r>
            <w:r w:rsidRPr="006162AF">
              <w:rPr>
                <w:rFonts w:ascii="Arial Narrow" w:hAnsi="Arial Narrow"/>
              </w:rPr>
              <w:t xml:space="preserve"> и иные акты, направленные на внедрение практики комплексного освоения территории.</w:t>
            </w:r>
          </w:p>
        </w:tc>
      </w:tr>
    </w:tbl>
    <w:p w:rsidR="00B20C46" w:rsidRDefault="00B20C46"/>
    <w:sectPr w:rsidR="00B20C46" w:rsidSect="00B2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14D4"/>
    <w:multiLevelType w:val="hybridMultilevel"/>
    <w:tmpl w:val="E526758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FF"/>
    <w:rsid w:val="00315EF9"/>
    <w:rsid w:val="00593A71"/>
    <w:rsid w:val="00724A4B"/>
    <w:rsid w:val="00934EF2"/>
    <w:rsid w:val="00B20C46"/>
    <w:rsid w:val="00D920FF"/>
    <w:rsid w:val="00E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71"/>
    <w:pPr>
      <w:ind w:left="720"/>
      <w:contextualSpacing/>
    </w:pPr>
  </w:style>
  <w:style w:type="paragraph" w:customStyle="1" w:styleId="a4">
    <w:name w:val="обычный"/>
    <w:basedOn w:val="a"/>
    <w:rsid w:val="00D920F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2017-04-06T07:12:00Z</dcterms:created>
  <dcterms:modified xsi:type="dcterms:W3CDTF">2017-04-06T07:13:00Z</dcterms:modified>
</cp:coreProperties>
</file>