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48" w:rsidRDefault="00E34C48" w:rsidP="00E34C48">
      <w:pPr>
        <w:tabs>
          <w:tab w:val="left" w:pos="323"/>
        </w:tabs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tbl>
      <w:tblPr>
        <w:tblStyle w:val="af0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B184E" w:rsidTr="00BB750E">
        <w:tc>
          <w:tcPr>
            <w:tcW w:w="10632" w:type="dxa"/>
            <w:tcBorders>
              <w:bottom w:val="dotted" w:sz="4" w:space="0" w:color="auto"/>
            </w:tcBorders>
            <w:shd w:val="clear" w:color="auto" w:fill="244061" w:themeFill="accent1" w:themeFillShade="80"/>
            <w:vAlign w:val="center"/>
          </w:tcPr>
          <w:p w:rsidR="005B184E" w:rsidRPr="00440E6E" w:rsidRDefault="009D216A" w:rsidP="005B184E">
            <w:pPr>
              <w:pStyle w:val="a5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ПРОГРАММА </w:t>
            </w:r>
            <w:r w:rsidR="005B184E" w:rsidRPr="00D66086">
              <w:rPr>
                <w:rFonts w:ascii="Arial Narrow" w:hAnsi="Arial Narrow"/>
                <w:b/>
                <w:color w:val="FFFFFF"/>
                <w:sz w:val="22"/>
                <w:szCs w:val="22"/>
              </w:rPr>
              <w:t>СЕМИНАРА</w:t>
            </w:r>
          </w:p>
        </w:tc>
      </w:tr>
    </w:tbl>
    <w:tbl>
      <w:tblPr>
        <w:tblW w:w="1063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897393" w:rsidRPr="007A70C2" w:rsidRDefault="00A94533" w:rsidP="00864028">
            <w:pPr>
              <w:pStyle w:val="af"/>
              <w:spacing w:after="0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70C2">
              <w:rPr>
                <w:rFonts w:ascii="Arial Narrow" w:hAnsi="Arial Narrow"/>
                <w:b/>
                <w:sz w:val="22"/>
                <w:szCs w:val="22"/>
              </w:rPr>
              <w:t>Новый порядок включения коммунальных ресурсов, используемых в целях содержания общего имущества, в плату за содержание жилого помещения</w:t>
            </w:r>
            <w:r w:rsidR="00E56AC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70C2">
              <w:rPr>
                <w:rFonts w:ascii="Arial Narrow" w:hAnsi="Arial Narrow"/>
                <w:b/>
                <w:color w:val="FF0000"/>
                <w:sz w:val="22"/>
                <w:szCs w:val="22"/>
              </w:rPr>
              <w:t>(с учетом изменений, принятых Федеральным законом от 19 июля 2017 года</w:t>
            </w:r>
            <w:r w:rsidR="007967FA">
              <w:rPr>
                <w:rFonts w:ascii="Arial Narrow" w:hAnsi="Arial Narrow"/>
                <w:b/>
                <w:color w:val="FF0000"/>
                <w:sz w:val="22"/>
                <w:szCs w:val="22"/>
              </w:rPr>
              <w:t>, и других изменений текущих осени 2017года</w:t>
            </w:r>
            <w:r w:rsidRPr="007A70C2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="00E56AC0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912327" w:rsidRPr="007A70C2">
                <w:rPr>
                  <w:rStyle w:val="a3"/>
                  <w:rFonts w:ascii="Arial Narrow" w:hAnsi="Arial Narrow"/>
                  <w:b/>
                </w:rPr>
                <w:t>Ссыл</w:t>
              </w:r>
              <w:r w:rsidR="007A70C2" w:rsidRPr="007A70C2">
                <w:rPr>
                  <w:rStyle w:val="a3"/>
                  <w:rFonts w:ascii="Arial Narrow" w:hAnsi="Arial Narrow"/>
                  <w:b/>
                </w:rPr>
                <w:t>ка на Ф</w:t>
              </w:r>
              <w:bookmarkStart w:id="0" w:name="_GoBack"/>
              <w:bookmarkEnd w:id="0"/>
              <w:r w:rsidR="007A70C2" w:rsidRPr="007A70C2">
                <w:rPr>
                  <w:rStyle w:val="a3"/>
                  <w:rFonts w:ascii="Arial Narrow" w:hAnsi="Arial Narrow"/>
                  <w:b/>
                </w:rPr>
                <w:t>едеральный з</w:t>
              </w:r>
              <w:r w:rsidR="00912327" w:rsidRPr="007A70C2">
                <w:rPr>
                  <w:rStyle w:val="a3"/>
                  <w:rFonts w:ascii="Arial Narrow" w:hAnsi="Arial Narrow"/>
                  <w:b/>
                </w:rPr>
                <w:t>акон от 29.07.2017N 258-ФЗ</w:t>
              </w:r>
            </w:hyperlink>
            <w:r w:rsidR="00897393" w:rsidRPr="007A70C2">
              <w:rPr>
                <w:rFonts w:ascii="Arial Narrow" w:hAnsi="Arial Narrow"/>
                <w:b/>
                <w:bCs/>
              </w:rPr>
              <w:t>:</w:t>
            </w:r>
          </w:p>
          <w:p w:rsidR="00A94533" w:rsidRPr="00897393" w:rsidRDefault="004A6F8C" w:rsidP="007967FA">
            <w:pPr>
              <w:pStyle w:val="af"/>
              <w:numPr>
                <w:ilvl w:val="3"/>
                <w:numId w:val="17"/>
              </w:numPr>
              <w:spacing w:after="0"/>
              <w:ind w:left="460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7393">
              <w:rPr>
                <w:rFonts w:ascii="Arial Narrow" w:hAnsi="Arial Narrow"/>
                <w:b/>
                <w:sz w:val="22"/>
                <w:szCs w:val="22"/>
              </w:rPr>
              <w:t>в</w:t>
            </w:r>
            <w:r w:rsidR="00A94533" w:rsidRPr="00897393">
              <w:rPr>
                <w:rFonts w:ascii="Arial Narrow" w:hAnsi="Arial Narrow"/>
                <w:b/>
                <w:sz w:val="22"/>
                <w:szCs w:val="22"/>
              </w:rPr>
              <w:t>ведение обязательного перерасчета размера платы за содержание жилого помещения в части оплаты коммунальных ресурсов</w:t>
            </w:r>
            <w:r w:rsidR="00A94533" w:rsidRPr="00897393">
              <w:rPr>
                <w:rFonts w:ascii="Arial Narrow" w:hAnsi="Arial Narrow"/>
                <w:sz w:val="22"/>
                <w:szCs w:val="22"/>
              </w:rPr>
              <w:t>, потребляемых при содержании общего имущества в МКД с ОПУ без решения общего собрания собственников</w:t>
            </w:r>
            <w:r w:rsidRPr="00897393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94533" w:rsidRPr="00897393" w:rsidRDefault="004A6F8C" w:rsidP="007967FA">
            <w:pPr>
              <w:pStyle w:val="a4"/>
              <w:numPr>
                <w:ilvl w:val="0"/>
                <w:numId w:val="17"/>
              </w:numPr>
              <w:spacing w:after="0"/>
              <w:ind w:left="460" w:hanging="284"/>
              <w:jc w:val="both"/>
              <w:rPr>
                <w:rFonts w:ascii="Arial Narrow" w:hAnsi="Arial Narrow"/>
              </w:rPr>
            </w:pPr>
            <w:r w:rsidRPr="00897393">
              <w:rPr>
                <w:rFonts w:ascii="Arial Narrow" w:hAnsi="Arial Narrow"/>
                <w:b/>
              </w:rPr>
              <w:t>о</w:t>
            </w:r>
            <w:r w:rsidR="00A94533" w:rsidRPr="00897393">
              <w:rPr>
                <w:rFonts w:ascii="Arial Narrow" w:hAnsi="Arial Narrow"/>
                <w:b/>
              </w:rPr>
              <w:t>пределение платы за коммунальные ресурсы, используемые в целях содержания общего имущества, с проведением и без проведения перерасчета размера такой платы в МКД с ОПУ</w:t>
            </w:r>
            <w:r w:rsidR="00A94533" w:rsidRPr="00897393">
              <w:rPr>
                <w:rFonts w:ascii="Arial Narrow" w:hAnsi="Arial Narrow"/>
              </w:rPr>
              <w:t xml:space="preserve"> при принятии соответствующего решени</w:t>
            </w:r>
            <w:r w:rsidRPr="00897393">
              <w:rPr>
                <w:rFonts w:ascii="Arial Narrow" w:hAnsi="Arial Narrow"/>
              </w:rPr>
              <w:t>я общим собранием собственников;</w:t>
            </w:r>
          </w:p>
          <w:p w:rsidR="00A94533" w:rsidRPr="004A6F8C" w:rsidRDefault="004A6F8C" w:rsidP="007967FA">
            <w:pPr>
              <w:pStyle w:val="a4"/>
              <w:numPr>
                <w:ilvl w:val="0"/>
                <w:numId w:val="17"/>
              </w:numPr>
              <w:spacing w:after="0"/>
              <w:ind w:left="460" w:hanging="284"/>
              <w:jc w:val="both"/>
              <w:rPr>
                <w:rFonts w:ascii="Arial Narrow" w:hAnsi="Arial Narrow"/>
              </w:rPr>
            </w:pPr>
            <w:r w:rsidRPr="004A6F8C">
              <w:rPr>
                <w:rFonts w:ascii="Arial Narrow" w:hAnsi="Arial Narrow"/>
                <w:b/>
              </w:rPr>
              <w:t>с</w:t>
            </w:r>
            <w:r w:rsidR="00A94533" w:rsidRPr="004A6F8C">
              <w:rPr>
                <w:rFonts w:ascii="Arial Narrow" w:hAnsi="Arial Narrow"/>
                <w:b/>
              </w:rPr>
              <w:t>лучаи и порядок изменения размера платы</w:t>
            </w:r>
            <w:r w:rsidR="00A94533" w:rsidRPr="004A6F8C">
              <w:rPr>
                <w:rFonts w:ascii="Arial Narrow" w:hAnsi="Arial Narrow"/>
              </w:rPr>
              <w:t>, в т.ч. при изменении тарифов и нормативов</w:t>
            </w:r>
            <w:r>
              <w:rPr>
                <w:rFonts w:ascii="Arial Narrow" w:hAnsi="Arial Narrow"/>
              </w:rPr>
              <w:t>;</w:t>
            </w:r>
          </w:p>
          <w:p w:rsidR="004413D5" w:rsidRPr="004A6F8C" w:rsidRDefault="004A6F8C" w:rsidP="007967FA">
            <w:pPr>
              <w:pStyle w:val="a4"/>
              <w:numPr>
                <w:ilvl w:val="0"/>
                <w:numId w:val="17"/>
              </w:numPr>
              <w:spacing w:after="0"/>
              <w:ind w:left="460" w:hanging="284"/>
              <w:jc w:val="both"/>
              <w:rPr>
                <w:rFonts w:ascii="Arial Narrow" w:hAnsi="Arial Narrow"/>
                <w:b/>
              </w:rPr>
            </w:pPr>
            <w:r w:rsidRPr="004A6F8C">
              <w:rPr>
                <w:rFonts w:ascii="Arial Narrow" w:hAnsi="Arial Narrow"/>
                <w:b/>
              </w:rPr>
              <w:t>у</w:t>
            </w:r>
            <w:r w:rsidR="00A94533" w:rsidRPr="004A6F8C">
              <w:rPr>
                <w:rFonts w:ascii="Arial Narrow" w:hAnsi="Arial Narrow"/>
                <w:b/>
              </w:rPr>
              <w:t>чет стоимости коммунальных ресурсов, используемых в целях содержания общего имущества, в цене договора управления</w:t>
            </w:r>
            <w:r w:rsidRPr="004A6F8C">
              <w:rPr>
                <w:rFonts w:ascii="Arial Narrow" w:hAnsi="Arial Narrow"/>
                <w:b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4A6F8C">
              <w:rPr>
                <w:rFonts w:ascii="Arial Narrow" w:hAnsi="Arial Narrow"/>
                <w:b/>
              </w:rPr>
              <w:t>О новых изменениях</w:t>
            </w:r>
            <w:r w:rsidRPr="00A94533">
              <w:rPr>
                <w:rFonts w:ascii="Arial Narrow" w:hAnsi="Arial Narrow"/>
              </w:rPr>
              <w:t xml:space="preserve"> в Правила № </w:t>
            </w:r>
            <w:r w:rsidRPr="004A6F8C">
              <w:rPr>
                <w:rFonts w:ascii="Arial Narrow" w:hAnsi="Arial Narrow"/>
                <w:b/>
              </w:rPr>
              <w:t>491</w:t>
            </w:r>
            <w:r w:rsidRPr="00A94533">
              <w:rPr>
                <w:rFonts w:ascii="Arial Narrow" w:hAnsi="Arial Narrow"/>
              </w:rPr>
              <w:t xml:space="preserve">, в Правила № </w:t>
            </w:r>
            <w:r w:rsidRPr="004A6F8C">
              <w:rPr>
                <w:rFonts w:ascii="Arial Narrow" w:hAnsi="Arial Narrow"/>
                <w:b/>
              </w:rPr>
              <w:t>416</w:t>
            </w:r>
            <w:r w:rsidRPr="00A94533">
              <w:rPr>
                <w:rFonts w:ascii="Arial Narrow" w:hAnsi="Arial Narrow"/>
              </w:rPr>
              <w:t xml:space="preserve">, в Правила № </w:t>
            </w:r>
            <w:r w:rsidRPr="004A6F8C">
              <w:rPr>
                <w:rFonts w:ascii="Arial Narrow" w:hAnsi="Arial Narrow"/>
                <w:b/>
              </w:rPr>
              <w:t>290</w:t>
            </w:r>
            <w:r w:rsidRPr="00A94533">
              <w:rPr>
                <w:rFonts w:ascii="Arial Narrow" w:hAnsi="Arial Narrow"/>
              </w:rPr>
              <w:t xml:space="preserve"> в связи с изменением стандартов управления МКД, а также в Правила № </w:t>
            </w:r>
            <w:r w:rsidRPr="004A6F8C">
              <w:rPr>
                <w:rFonts w:ascii="Arial Narrow" w:hAnsi="Arial Narrow"/>
                <w:b/>
              </w:rPr>
              <w:t>306</w:t>
            </w:r>
            <w:r w:rsidRPr="00A94533">
              <w:rPr>
                <w:rFonts w:ascii="Arial Narrow" w:hAnsi="Arial Narrow"/>
              </w:rPr>
              <w:t xml:space="preserve">, в Правила № </w:t>
            </w:r>
            <w:r w:rsidRPr="004A6F8C">
              <w:rPr>
                <w:rFonts w:ascii="Arial Narrow" w:hAnsi="Arial Narrow"/>
                <w:b/>
              </w:rPr>
              <w:t>354</w:t>
            </w:r>
            <w:r w:rsidR="004A6F8C">
              <w:rPr>
                <w:rFonts w:ascii="Arial Narrow" w:hAnsi="Arial Narrow"/>
                <w:b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4413D5" w:rsidRPr="009D216A" w:rsidRDefault="009D216A" w:rsidP="005F3E06">
            <w:pPr>
              <w:spacing w:after="0"/>
              <w:rPr>
                <w:rFonts w:ascii="Arial Narrow" w:hAnsi="Arial Narrow"/>
                <w:b/>
              </w:rPr>
            </w:pPr>
            <w:r w:rsidRPr="009D216A">
              <w:rPr>
                <w:rFonts w:ascii="Arial Narrow" w:hAnsi="Arial Narrow"/>
                <w:b/>
              </w:rPr>
              <w:t xml:space="preserve">Изменения в организации проведения капитального ремонта </w:t>
            </w:r>
            <w:r w:rsidR="005F3E06">
              <w:rPr>
                <w:rFonts w:ascii="Arial Narrow" w:hAnsi="Arial Narrow"/>
                <w:b/>
              </w:rPr>
              <w:t>МКД</w:t>
            </w:r>
            <w:r w:rsidRPr="009D216A">
              <w:rPr>
                <w:rFonts w:ascii="Arial Narrow" w:hAnsi="Arial Narrow"/>
                <w:b/>
              </w:rPr>
              <w:t>, внесенные законами № 355-</w:t>
            </w:r>
            <w:r w:rsidR="005F3E06">
              <w:rPr>
                <w:rFonts w:ascii="Arial Narrow" w:hAnsi="Arial Narrow"/>
                <w:b/>
              </w:rPr>
              <w:t>ФЗ и № 257-ФЗ</w:t>
            </w:r>
            <w:r w:rsidRPr="009D216A">
              <w:rPr>
                <w:rFonts w:ascii="Arial Narrow" w:hAnsi="Arial Narrow"/>
                <w:b/>
              </w:rPr>
              <w:t>.</w:t>
            </w:r>
          </w:p>
        </w:tc>
      </w:tr>
      <w:tr w:rsidR="009D216A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9D216A" w:rsidRPr="004A6F8C" w:rsidRDefault="009D216A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  <w:b/>
              </w:rPr>
            </w:pPr>
            <w:r w:rsidRPr="004A6F8C">
              <w:rPr>
                <w:rFonts w:ascii="Arial Narrow" w:hAnsi="Arial Narrow"/>
                <w:b/>
              </w:rPr>
              <w:t>О позиции Верховного Суда РФ по отдельным вопросам определения размера платы за ЖКУ, её перерасчетов, и внесения</w:t>
            </w:r>
            <w:r w:rsidRPr="00A94533">
              <w:rPr>
                <w:rFonts w:ascii="Arial Narrow" w:hAnsi="Arial Narrow"/>
              </w:rPr>
              <w:t xml:space="preserve">, а также </w:t>
            </w:r>
            <w:r w:rsidRPr="004A6F8C">
              <w:rPr>
                <w:rFonts w:ascii="Arial Narrow" w:hAnsi="Arial Narrow"/>
                <w:b/>
              </w:rPr>
              <w:t xml:space="preserve">отношений по содержанию общего имущества и предоставлению коммунальных услуг, </w:t>
            </w:r>
            <w:r w:rsidRPr="004A6F8C">
              <w:rPr>
                <w:rFonts w:ascii="Arial Narrow" w:hAnsi="Arial Narrow"/>
              </w:rPr>
              <w:t>выраженной в Постановлении Пленума ВС РФ от 27.06.2017 № 22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4A6F8C">
              <w:rPr>
                <w:rFonts w:ascii="Arial Narrow" w:hAnsi="Arial Narrow"/>
                <w:b/>
              </w:rPr>
              <w:t>Случаи и основания перерасчетов размера платы за коммунальные услуги, регулируемые Правилами № 354</w:t>
            </w:r>
            <w:r w:rsidRPr="00A94533">
              <w:rPr>
                <w:rFonts w:ascii="Arial Narrow" w:hAnsi="Arial Narrow"/>
              </w:rPr>
              <w:t>. Примеры перерасчетов. Отражение результатов перерасчетов на объеме коммунальных ресурсов, потребляемых в целях содержания общего имущества в МКД</w:t>
            </w:r>
            <w:r w:rsidR="004A6F8C">
              <w:rPr>
                <w:rFonts w:ascii="Arial Narrow" w:hAnsi="Arial Narrow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4A6F8C">
              <w:rPr>
                <w:rFonts w:ascii="Arial Narrow" w:hAnsi="Arial Narrow"/>
                <w:b/>
              </w:rPr>
              <w:t>Актуальные вопросы исполнения договоров ресурсоснабжения, заключенных между ресурсоснабжающими и управляющими организациями</w:t>
            </w:r>
            <w:r w:rsidRPr="00A94533">
              <w:rPr>
                <w:rFonts w:ascii="Arial Narrow" w:hAnsi="Arial Narrow"/>
              </w:rPr>
              <w:t xml:space="preserve">, </w:t>
            </w:r>
            <w:r w:rsidRPr="004A6F8C">
              <w:rPr>
                <w:rFonts w:ascii="Arial Narrow" w:hAnsi="Arial Narrow"/>
                <w:b/>
              </w:rPr>
              <w:t>в условиях их регулирования Правилами № 124</w:t>
            </w:r>
            <w:r w:rsidRPr="00A94533">
              <w:rPr>
                <w:rFonts w:ascii="Arial Narrow" w:hAnsi="Arial Narrow"/>
              </w:rPr>
              <w:t xml:space="preserve"> в их редакции, действующей с 1 января и 1 июня 2017 года</w:t>
            </w:r>
            <w:r w:rsidR="005F3E06">
              <w:rPr>
                <w:rFonts w:ascii="Arial Narrow" w:hAnsi="Arial Narrow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4A6F8C">
              <w:rPr>
                <w:rFonts w:ascii="Arial Narrow" w:hAnsi="Arial Narrow"/>
                <w:b/>
              </w:rPr>
              <w:t>Регулирование отношений по расчетам за коммунальные ресурсы по договорам ресурсоснабжения.</w:t>
            </w:r>
            <w:r w:rsidRPr="00B65C66">
              <w:rPr>
                <w:rFonts w:ascii="Arial Narrow" w:hAnsi="Arial Narrow"/>
                <w:b/>
              </w:rPr>
              <w:t>Отражение результатов перерасчетов размера платы за коммунальные услуги при определении объемов коммунальных ресурсов</w:t>
            </w:r>
            <w:r w:rsidRPr="00A94533">
              <w:rPr>
                <w:rFonts w:ascii="Arial Narrow" w:hAnsi="Arial Narrow"/>
              </w:rPr>
              <w:t>, подлежащих оплате в РСО управляющими организациями: оформление корректировочных актов, корректировочных счетов-фактур, актов сверок</w:t>
            </w:r>
            <w:r w:rsidR="005F3E06">
              <w:rPr>
                <w:rFonts w:ascii="Arial Narrow" w:hAnsi="Arial Narrow"/>
              </w:rPr>
              <w:t>.</w:t>
            </w:r>
          </w:p>
        </w:tc>
      </w:tr>
      <w:tr w:rsidR="004413D5" w:rsidRPr="00A94533" w:rsidTr="007D6D52">
        <w:trPr>
          <w:trHeight w:val="197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pStyle w:val="a4"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B65C66">
              <w:rPr>
                <w:rFonts w:ascii="Arial Narrow" w:hAnsi="Arial Narrow"/>
                <w:b/>
              </w:rPr>
              <w:t>Обеспечение достоверности информации</w:t>
            </w:r>
            <w:r w:rsidRPr="00A94533">
              <w:rPr>
                <w:rFonts w:ascii="Arial Narrow" w:hAnsi="Arial Narrow"/>
              </w:rPr>
              <w:t xml:space="preserve">, используемой ресурсоснабжающими и управляющими организациями </w:t>
            </w:r>
            <w:r w:rsidRPr="00B65C66">
              <w:rPr>
                <w:rFonts w:ascii="Arial Narrow" w:hAnsi="Arial Narrow"/>
                <w:b/>
              </w:rPr>
              <w:t>при исполнении договоров ресурсоснабжения</w:t>
            </w:r>
            <w:r w:rsidR="005F3E06">
              <w:rPr>
                <w:rFonts w:ascii="Arial Narrow" w:hAnsi="Arial Narrow"/>
                <w:b/>
              </w:rPr>
              <w:t>.</w:t>
            </w:r>
          </w:p>
        </w:tc>
      </w:tr>
      <w:tr w:rsidR="004413D5" w:rsidRPr="00A94533" w:rsidTr="00DE16D8">
        <w:trPr>
          <w:trHeight w:val="272"/>
        </w:trPr>
        <w:tc>
          <w:tcPr>
            <w:tcW w:w="10632" w:type="dxa"/>
            <w:gridSpan w:val="2"/>
            <w:shd w:val="clear" w:color="auto" w:fill="auto"/>
          </w:tcPr>
          <w:p w:rsidR="004413D5" w:rsidRPr="00A94533" w:rsidRDefault="00A94533" w:rsidP="00864028">
            <w:pPr>
              <w:spacing w:after="0"/>
              <w:jc w:val="both"/>
              <w:rPr>
                <w:rFonts w:ascii="Arial Narrow" w:hAnsi="Arial Narrow"/>
              </w:rPr>
            </w:pPr>
            <w:r w:rsidRPr="00A94533">
              <w:rPr>
                <w:rFonts w:ascii="Arial Narrow" w:hAnsi="Arial Narrow"/>
              </w:rPr>
              <w:t>О проектах новых изменений в Жилищный кодекс РФ, в т.ч. по отношениям лицензионного контроля деятельности УО, а также по переходу на прямые договоры РСО с потребителями</w:t>
            </w:r>
            <w:r w:rsidR="005F3E06">
              <w:rPr>
                <w:rFonts w:ascii="Arial Narrow" w:hAnsi="Arial Narrow"/>
              </w:rPr>
              <w:t>.</w:t>
            </w:r>
          </w:p>
        </w:tc>
      </w:tr>
      <w:tr w:rsidR="00E34C48" w:rsidRPr="00A94533" w:rsidTr="00BB750E">
        <w:trPr>
          <w:trHeight w:val="2078"/>
        </w:trPr>
        <w:tc>
          <w:tcPr>
            <w:tcW w:w="1985" w:type="dxa"/>
            <w:tcBorders>
              <w:left w:val="nil"/>
              <w:bottom w:val="nil"/>
            </w:tcBorders>
          </w:tcPr>
          <w:p w:rsidR="00E34C48" w:rsidRPr="00A94533" w:rsidRDefault="001A1FF9" w:rsidP="00864028">
            <w:pPr>
              <w:keepLines/>
              <w:suppressAutoHyphens/>
              <w:spacing w:after="0" w:line="240" w:lineRule="auto"/>
              <w:ind w:hanging="108"/>
              <w:rPr>
                <w:rFonts w:ascii="Arial Narrow" w:hAnsi="Arial Narrow"/>
                <w:b/>
                <w:bCs/>
                <w:color w:val="000000"/>
                <w:spacing w:val="26"/>
                <w:sz w:val="20"/>
                <w:szCs w:val="20"/>
              </w:rPr>
            </w:pPr>
            <w:r w:rsidRPr="00A94533">
              <w:rPr>
                <w:rFonts w:ascii="Arial Narrow" w:hAnsi="Arial Narrow"/>
                <w:b/>
                <w:bCs/>
                <w:noProof/>
                <w:color w:val="000000"/>
                <w:spacing w:val="26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-26803</wp:posOffset>
                  </wp:positionH>
                  <wp:positionV relativeFrom="paragraph">
                    <wp:posOffset>85799</wp:posOffset>
                  </wp:positionV>
                  <wp:extent cx="1033573" cy="1137684"/>
                  <wp:effectExtent l="19050" t="0" r="0" b="0"/>
                  <wp:wrapNone/>
                  <wp:docPr id="38" name="Рисунок 38" descr="C:\Users\user\Desktop\Мали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Мали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tcBorders>
              <w:bottom w:val="nil"/>
              <w:right w:val="nil"/>
            </w:tcBorders>
          </w:tcPr>
          <w:p w:rsidR="00E34C48" w:rsidRPr="00DC1D0B" w:rsidRDefault="00E34C48" w:rsidP="003A5A13">
            <w:pPr>
              <w:keepLines/>
              <w:autoSpaceDE w:val="0"/>
              <w:autoSpaceDN w:val="0"/>
              <w:spacing w:before="240" w:after="0" w:line="240" w:lineRule="auto"/>
              <w:jc w:val="both"/>
              <w:rPr>
                <w:rFonts w:ascii="Arial Narrow" w:hAnsi="Arial Narrow"/>
              </w:rPr>
            </w:pPr>
            <w:r w:rsidRPr="00DC1D0B">
              <w:rPr>
                <w:rFonts w:ascii="Arial Narrow" w:hAnsi="Arial Narrow"/>
                <w:b/>
              </w:rPr>
              <w:t xml:space="preserve">МАЛИКОВА ИРИНА ПЕТРОВНА: </w:t>
            </w:r>
          </w:p>
          <w:p w:rsidR="00E34C48" w:rsidRPr="00DC1D0B" w:rsidRDefault="00E34C48" w:rsidP="007558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1D0B">
              <w:rPr>
                <w:rFonts w:ascii="Arial Narrow" w:hAnsi="Arial Narrow"/>
                <w:sz w:val="20"/>
                <w:szCs w:val="20"/>
              </w:rPr>
              <w:t>Практикующий аудитор, работает в сфере ЖКХ более 30 лет. С 18 апреля 2014 г. включена в состав Рабочей группы Экспертного совета при Правительстве Российской Федерации по развитию жилищно-коммунального хозяйства. Член Федеральной лекторской группы Общероссийской общественной организации "Общество «Знание» России", в статусе «Лектор Общества «Знание» России».</w:t>
            </w:r>
          </w:p>
          <w:p w:rsidR="00E34C48" w:rsidRPr="00A94533" w:rsidRDefault="00E34C48" w:rsidP="007558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1D0B">
              <w:rPr>
                <w:rFonts w:ascii="Arial Narrow" w:hAnsi="Arial Narrow"/>
                <w:sz w:val="20"/>
                <w:szCs w:val="20"/>
              </w:rPr>
              <w:t>Активно осуществляет преподавательскую деятельность на семинарах российского, регионального, муниципального уровней.</w:t>
            </w: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50" w:rsidRDefault="00B64650" w:rsidP="003E4118">
      <w:pPr>
        <w:spacing w:after="0" w:line="240" w:lineRule="auto"/>
      </w:pPr>
      <w:r>
        <w:separator/>
      </w:r>
    </w:p>
  </w:endnote>
  <w:endnote w:type="continuationSeparator" w:id="0">
    <w:p w:rsidR="00B64650" w:rsidRDefault="00B64650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50" w:rsidRDefault="00B64650" w:rsidP="003E4118">
      <w:pPr>
        <w:spacing w:after="0" w:line="240" w:lineRule="auto"/>
      </w:pPr>
      <w:r>
        <w:separator/>
      </w:r>
    </w:p>
  </w:footnote>
  <w:footnote w:type="continuationSeparator" w:id="0">
    <w:p w:rsidR="00B64650" w:rsidRDefault="00B64650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AA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1B66"/>
    <w:multiLevelType w:val="hybridMultilevel"/>
    <w:tmpl w:val="97D0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06EA5"/>
    <w:multiLevelType w:val="hybridMultilevel"/>
    <w:tmpl w:val="10AAB8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80975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FA2"/>
    <w:multiLevelType w:val="hybridMultilevel"/>
    <w:tmpl w:val="968C0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48"/>
    <w:rsid w:val="00031D36"/>
    <w:rsid w:val="00057935"/>
    <w:rsid w:val="00061430"/>
    <w:rsid w:val="000D7B89"/>
    <w:rsid w:val="00117B94"/>
    <w:rsid w:val="00127B28"/>
    <w:rsid w:val="00142C0F"/>
    <w:rsid w:val="001433A9"/>
    <w:rsid w:val="001A1FF9"/>
    <w:rsid w:val="0022484F"/>
    <w:rsid w:val="002271C0"/>
    <w:rsid w:val="00267DE6"/>
    <w:rsid w:val="00286E9B"/>
    <w:rsid w:val="002B30B5"/>
    <w:rsid w:val="00300F5A"/>
    <w:rsid w:val="003040E1"/>
    <w:rsid w:val="00315EF9"/>
    <w:rsid w:val="00330308"/>
    <w:rsid w:val="0033366D"/>
    <w:rsid w:val="00352259"/>
    <w:rsid w:val="00396170"/>
    <w:rsid w:val="003A5A13"/>
    <w:rsid w:val="003E4118"/>
    <w:rsid w:val="004413D5"/>
    <w:rsid w:val="004425EE"/>
    <w:rsid w:val="004501BF"/>
    <w:rsid w:val="00485212"/>
    <w:rsid w:val="004A0F50"/>
    <w:rsid w:val="004A5222"/>
    <w:rsid w:val="004A6F8C"/>
    <w:rsid w:val="004B7AD1"/>
    <w:rsid w:val="004D166D"/>
    <w:rsid w:val="004D6FA8"/>
    <w:rsid w:val="004E41D6"/>
    <w:rsid w:val="00506584"/>
    <w:rsid w:val="00534166"/>
    <w:rsid w:val="0054081D"/>
    <w:rsid w:val="005410DB"/>
    <w:rsid w:val="005629BF"/>
    <w:rsid w:val="00565E35"/>
    <w:rsid w:val="00572C70"/>
    <w:rsid w:val="00591AE9"/>
    <w:rsid w:val="00591FCA"/>
    <w:rsid w:val="005954F7"/>
    <w:rsid w:val="00596306"/>
    <w:rsid w:val="005B184E"/>
    <w:rsid w:val="005B63AE"/>
    <w:rsid w:val="005F3E06"/>
    <w:rsid w:val="00610840"/>
    <w:rsid w:val="006641BA"/>
    <w:rsid w:val="006B1C1E"/>
    <w:rsid w:val="006D1615"/>
    <w:rsid w:val="006D4AEA"/>
    <w:rsid w:val="006E1BFB"/>
    <w:rsid w:val="006E246F"/>
    <w:rsid w:val="006F2A84"/>
    <w:rsid w:val="007118AC"/>
    <w:rsid w:val="00714371"/>
    <w:rsid w:val="00726B26"/>
    <w:rsid w:val="0075584C"/>
    <w:rsid w:val="007967FA"/>
    <w:rsid w:val="007A5692"/>
    <w:rsid w:val="007A70C2"/>
    <w:rsid w:val="007B428A"/>
    <w:rsid w:val="007D6D52"/>
    <w:rsid w:val="007F2000"/>
    <w:rsid w:val="008050D5"/>
    <w:rsid w:val="00822501"/>
    <w:rsid w:val="00864028"/>
    <w:rsid w:val="00890051"/>
    <w:rsid w:val="00895746"/>
    <w:rsid w:val="00897393"/>
    <w:rsid w:val="008C07A5"/>
    <w:rsid w:val="008D513A"/>
    <w:rsid w:val="008E067F"/>
    <w:rsid w:val="00912327"/>
    <w:rsid w:val="00921A71"/>
    <w:rsid w:val="009A65E2"/>
    <w:rsid w:val="009B4C81"/>
    <w:rsid w:val="009D216A"/>
    <w:rsid w:val="00A07D87"/>
    <w:rsid w:val="00A13C12"/>
    <w:rsid w:val="00A2388F"/>
    <w:rsid w:val="00A4426A"/>
    <w:rsid w:val="00A722B9"/>
    <w:rsid w:val="00A85FE6"/>
    <w:rsid w:val="00A94533"/>
    <w:rsid w:val="00AB5F93"/>
    <w:rsid w:val="00AD07A6"/>
    <w:rsid w:val="00B20C46"/>
    <w:rsid w:val="00B30B6D"/>
    <w:rsid w:val="00B34635"/>
    <w:rsid w:val="00B36642"/>
    <w:rsid w:val="00B428ED"/>
    <w:rsid w:val="00B42E99"/>
    <w:rsid w:val="00B5034C"/>
    <w:rsid w:val="00B523B9"/>
    <w:rsid w:val="00B55E65"/>
    <w:rsid w:val="00B64650"/>
    <w:rsid w:val="00B65C66"/>
    <w:rsid w:val="00B72C46"/>
    <w:rsid w:val="00B74CD0"/>
    <w:rsid w:val="00BA4C84"/>
    <w:rsid w:val="00BB2061"/>
    <w:rsid w:val="00BB3149"/>
    <w:rsid w:val="00BB750E"/>
    <w:rsid w:val="00BC52AF"/>
    <w:rsid w:val="00BD6E5D"/>
    <w:rsid w:val="00BE15C4"/>
    <w:rsid w:val="00C04E0F"/>
    <w:rsid w:val="00C25938"/>
    <w:rsid w:val="00C862BE"/>
    <w:rsid w:val="00CA7110"/>
    <w:rsid w:val="00CB3F2D"/>
    <w:rsid w:val="00CB7F31"/>
    <w:rsid w:val="00CD7DFC"/>
    <w:rsid w:val="00D0219D"/>
    <w:rsid w:val="00D320CF"/>
    <w:rsid w:val="00D3564F"/>
    <w:rsid w:val="00D41635"/>
    <w:rsid w:val="00D55055"/>
    <w:rsid w:val="00D66086"/>
    <w:rsid w:val="00DB5377"/>
    <w:rsid w:val="00DC0BE2"/>
    <w:rsid w:val="00DC1D0B"/>
    <w:rsid w:val="00DC387F"/>
    <w:rsid w:val="00DD05C1"/>
    <w:rsid w:val="00DD65D8"/>
    <w:rsid w:val="00DE16D8"/>
    <w:rsid w:val="00E035C7"/>
    <w:rsid w:val="00E10503"/>
    <w:rsid w:val="00E1726E"/>
    <w:rsid w:val="00E34C48"/>
    <w:rsid w:val="00E56AC0"/>
    <w:rsid w:val="00E616DD"/>
    <w:rsid w:val="00E95A9B"/>
    <w:rsid w:val="00EA761D"/>
    <w:rsid w:val="00EB2140"/>
    <w:rsid w:val="00EC5D83"/>
    <w:rsid w:val="00EE0FD0"/>
    <w:rsid w:val="00F759CB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58E390-E326-41C7-A0D6-5F1085CA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paragraph" w:customStyle="1" w:styleId="Default">
    <w:name w:val="Default"/>
    <w:rsid w:val="00AB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97393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A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1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.consultant.ru/documents/3719535?items=1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50C8-8433-43EC-95E5-0368306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50</cp:revision>
  <cp:lastPrinted>2017-09-28T04:28:00Z</cp:lastPrinted>
  <dcterms:created xsi:type="dcterms:W3CDTF">2017-03-06T02:29:00Z</dcterms:created>
  <dcterms:modified xsi:type="dcterms:W3CDTF">2017-09-29T02:02:00Z</dcterms:modified>
</cp:coreProperties>
</file>